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0026" w:rsidRDefault="005B18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John’s N.S.</w:t>
      </w:r>
    </w:p>
    <w:p w14:paraId="00000002" w14:textId="77777777" w:rsidR="008B0026" w:rsidRDefault="005B18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Ballinalee Road,</w:t>
      </w:r>
    </w:p>
    <w:p w14:paraId="00000003" w14:textId="77777777" w:rsidR="008B0026" w:rsidRDefault="005B18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Edgeworthstown,</w:t>
      </w:r>
    </w:p>
    <w:p w14:paraId="00000004" w14:textId="77777777" w:rsidR="008B0026" w:rsidRDefault="005B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Co. Longford</w:t>
      </w:r>
    </w:p>
    <w:p w14:paraId="00000005" w14:textId="77777777" w:rsidR="008B0026" w:rsidRDefault="005B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N39 F211</w:t>
      </w:r>
    </w:p>
    <w:p w14:paraId="00000006" w14:textId="77777777" w:rsidR="008B0026" w:rsidRDefault="005B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043 6671620</w:t>
      </w:r>
    </w:p>
    <w:p w14:paraId="00000007" w14:textId="77777777" w:rsidR="008B0026" w:rsidRDefault="005B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info@stjohnsnsedgeworthstown.ie</w:t>
      </w:r>
    </w:p>
    <w:p w14:paraId="00000008" w14:textId="77777777" w:rsidR="008B0026" w:rsidRDefault="008B0026">
      <w:pPr>
        <w:jc w:val="center"/>
        <w:rPr>
          <w:b/>
          <w:sz w:val="40"/>
          <w:szCs w:val="40"/>
        </w:rPr>
      </w:pPr>
    </w:p>
    <w:p w14:paraId="00000009" w14:textId="77777777" w:rsidR="008B0026" w:rsidRDefault="005B18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Attendance Policy     </w:t>
      </w:r>
    </w:p>
    <w:p w14:paraId="0000000A" w14:textId="77777777" w:rsidR="008B0026" w:rsidRDefault="008B0026">
      <w:pPr>
        <w:jc w:val="center"/>
        <w:rPr>
          <w:b/>
          <w:sz w:val="40"/>
          <w:szCs w:val="40"/>
        </w:rPr>
      </w:pPr>
    </w:p>
    <w:p w14:paraId="0000000B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0000000C" w14:textId="77777777" w:rsidR="008B0026" w:rsidRDefault="005B18B7">
      <w:r>
        <w:t>All partners involved in the education of pupils in St John’s N.S. aim to foster a culture of best possible school attendance for all pupils. This strategy will encourage an appreciation of the importance of attendance in order to maximise the learning pot</w:t>
      </w:r>
      <w:r>
        <w:t xml:space="preserve">ential of each pupil. </w:t>
      </w:r>
    </w:p>
    <w:p w14:paraId="0000000D" w14:textId="77777777" w:rsidR="008B0026" w:rsidRDefault="008B0026"/>
    <w:p w14:paraId="0000000E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Rationale:</w:t>
      </w:r>
    </w:p>
    <w:p w14:paraId="0000000F" w14:textId="77777777" w:rsidR="008B0026" w:rsidRDefault="005B18B7">
      <w:r>
        <w:t>The rationale underpinning the formulation of this policy is as follows:</w:t>
      </w:r>
    </w:p>
    <w:p w14:paraId="00000010" w14:textId="77777777" w:rsidR="008B0026" w:rsidRDefault="005B18B7">
      <w:r>
        <w:t>-To support all pupils and ensure their right to education</w:t>
      </w:r>
    </w:p>
    <w:p w14:paraId="00000011" w14:textId="77777777" w:rsidR="008B0026" w:rsidRDefault="005B18B7">
      <w:r>
        <w:t>-To ensure all parents are aware of the necessity of regular, punctual attendance.</w:t>
      </w:r>
    </w:p>
    <w:p w14:paraId="00000012" w14:textId="77777777" w:rsidR="008B0026" w:rsidRDefault="005B18B7">
      <w:r>
        <w:t>-To fu</w:t>
      </w:r>
      <w:r>
        <w:t>lfil the legislative requirements of the Education (Welfare) Act 2000.</w:t>
      </w:r>
    </w:p>
    <w:p w14:paraId="00000013" w14:textId="77777777" w:rsidR="008B0026" w:rsidRDefault="008B0026"/>
    <w:p w14:paraId="00000014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Aims of the Attendance Policy:</w:t>
      </w:r>
    </w:p>
    <w:p w14:paraId="00000015" w14:textId="77777777" w:rsidR="008B0026" w:rsidRDefault="005B18B7">
      <w:pPr>
        <w:numPr>
          <w:ilvl w:val="0"/>
          <w:numId w:val="4"/>
        </w:numPr>
      </w:pPr>
      <w:r>
        <w:t>To create an awareness of the importance of attendance at school</w:t>
      </w:r>
    </w:p>
    <w:p w14:paraId="00000016" w14:textId="77777777" w:rsidR="008B0026" w:rsidRDefault="005B18B7">
      <w:pPr>
        <w:numPr>
          <w:ilvl w:val="0"/>
          <w:numId w:val="4"/>
        </w:numPr>
      </w:pPr>
      <w:r>
        <w:t>To promote a positive attitude towards learning</w:t>
      </w:r>
    </w:p>
    <w:p w14:paraId="00000017" w14:textId="77777777" w:rsidR="008B0026" w:rsidRDefault="005B18B7">
      <w:pPr>
        <w:numPr>
          <w:ilvl w:val="0"/>
          <w:numId w:val="4"/>
        </w:numPr>
      </w:pPr>
      <w:r>
        <w:t>To comply with requirements under the Ed</w:t>
      </w:r>
      <w:r>
        <w:t>ucation (Welfare) Act 2000/ Guidelines from TUSLA Education Welfare Services: Child and Family Agency</w:t>
      </w:r>
    </w:p>
    <w:p w14:paraId="00000018" w14:textId="77777777" w:rsidR="008B0026" w:rsidRDefault="005B18B7">
      <w:pPr>
        <w:numPr>
          <w:ilvl w:val="0"/>
          <w:numId w:val="4"/>
        </w:numPr>
      </w:pPr>
      <w:r>
        <w:t>To complement the school’s ‘Statement of Strategy for School Attendance’</w:t>
      </w:r>
    </w:p>
    <w:p w14:paraId="00000019" w14:textId="77777777" w:rsidR="008B0026" w:rsidRDefault="008B0026"/>
    <w:p w14:paraId="0000001A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The Education (Welfare) Act 2000:</w:t>
      </w:r>
    </w:p>
    <w:p w14:paraId="0000001B" w14:textId="77777777" w:rsidR="008B0026" w:rsidRDefault="005B18B7">
      <w:r>
        <w:t>The legislation governing school attendance in</w:t>
      </w:r>
      <w:r>
        <w:t xml:space="preserve"> Ireland is the Education (Welfare) Act 2000. Parents are required to ensure that their children from the age of 6 to 16 attend a recognised school on each day that the school is open and classes are in progress.</w:t>
      </w:r>
    </w:p>
    <w:p w14:paraId="0000001C" w14:textId="77777777" w:rsidR="008B0026" w:rsidRDefault="008B0026"/>
    <w:p w14:paraId="0000001D" w14:textId="77777777" w:rsidR="008B0026" w:rsidRDefault="005B18B7">
      <w:r>
        <w:t xml:space="preserve">Where the pupil is absent from the school, </w:t>
      </w:r>
      <w:r>
        <w:rPr>
          <w:color w:val="FF0000"/>
        </w:rPr>
        <w:t xml:space="preserve"> </w:t>
      </w:r>
      <w:r>
        <w:t>a standard absence form will be sent home for parents to complete on the child’s return to school.</w:t>
      </w:r>
    </w:p>
    <w:p w14:paraId="0000001E" w14:textId="77777777" w:rsidR="008B0026" w:rsidRDefault="008B0026"/>
    <w:p w14:paraId="0000001F" w14:textId="77777777" w:rsidR="008B0026" w:rsidRDefault="005B18B7">
      <w:r>
        <w:t>Schools are obliged to keep a register of the pupils attending the school.  They must also maintain attendance r</w:t>
      </w:r>
      <w:r>
        <w:t>ecords for all pupils and inform the relevant authorities ‘TUSLA: Educational Welfare Services-Child and Family Agency’ if a child is absent for more than 20 days in a school year.</w:t>
      </w:r>
    </w:p>
    <w:p w14:paraId="00000020" w14:textId="77777777" w:rsidR="008B0026" w:rsidRDefault="008B0026"/>
    <w:p w14:paraId="00000021" w14:textId="77777777" w:rsidR="008B0026" w:rsidRDefault="005B18B7">
      <w:r>
        <w:t>The school must also inform ‘TUSLA: Educational Welfare Services-Child and</w:t>
      </w:r>
      <w:r>
        <w:t xml:space="preserve"> Family Agency’ if a pupil is not attending regularly or if a student has been suspended or expelled.</w:t>
      </w:r>
    </w:p>
    <w:p w14:paraId="00000022" w14:textId="77777777" w:rsidR="008B0026" w:rsidRDefault="008B0026"/>
    <w:p w14:paraId="00000023" w14:textId="77777777" w:rsidR="008B0026" w:rsidRDefault="005B18B7">
      <w:r>
        <w:t>Under Section 22 of the Education Welfare Act, 2000, The Board of Management must prepare and submit to ‘TUSLA: Educational Welfare Services-Child and Fa</w:t>
      </w:r>
      <w:r>
        <w:t xml:space="preserve">mily Agency’ a ‘Statement of Strategy for School Attendance’. </w:t>
      </w:r>
    </w:p>
    <w:p w14:paraId="00000024" w14:textId="77777777" w:rsidR="008B0026" w:rsidRDefault="008B0026">
      <w:pPr>
        <w:rPr>
          <w:b/>
          <w:u w:val="single"/>
        </w:rPr>
      </w:pPr>
    </w:p>
    <w:p w14:paraId="00000025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TUSLA Educational Welfare Services - Child and Family Agency</w:t>
      </w:r>
    </w:p>
    <w:p w14:paraId="00000026" w14:textId="77777777" w:rsidR="008B0026" w:rsidRDefault="005B18B7">
      <w:pPr>
        <w:rPr>
          <w:b/>
          <w:u w:val="single"/>
        </w:rPr>
      </w:pPr>
      <w:r>
        <w:t>TUSLA</w:t>
      </w:r>
      <w:r>
        <w:rPr>
          <w:b/>
        </w:rPr>
        <w:t xml:space="preserve"> </w:t>
      </w:r>
      <w:r>
        <w:t xml:space="preserve">Educational Welfare Services - Child and Family Agency is the national agency established to ensure that every child attends </w:t>
      </w:r>
      <w:r>
        <w:t>school regularly, or otherwise receives an appropriate minimum education.  ‘A Statement of Strategy for School Attendance’ must be submitted to TUSLA</w:t>
      </w:r>
      <w:r>
        <w:rPr>
          <w:b/>
        </w:rPr>
        <w:t xml:space="preserve"> </w:t>
      </w:r>
      <w:r>
        <w:t xml:space="preserve">Educational Welfare Services - Child and Family Agency at attendancestrategies@tusla.ie </w:t>
      </w:r>
    </w:p>
    <w:p w14:paraId="00000027" w14:textId="77777777" w:rsidR="008B0026" w:rsidRDefault="008B0026">
      <w:pPr>
        <w:rPr>
          <w:b/>
          <w:u w:val="single"/>
        </w:rPr>
      </w:pPr>
    </w:p>
    <w:p w14:paraId="00000028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Defining and Rec</w:t>
      </w:r>
      <w:r>
        <w:rPr>
          <w:b/>
          <w:u w:val="single"/>
        </w:rPr>
        <w:t>ording Non-Attendance:</w:t>
      </w:r>
    </w:p>
    <w:p w14:paraId="00000029" w14:textId="77777777" w:rsidR="008B0026" w:rsidRDefault="005B18B7">
      <w:r>
        <w:t xml:space="preserve">The roll is called at 9.20a.m. daily and is recorded on Aladdin. </w:t>
      </w:r>
      <w:r>
        <w:rPr>
          <w:color w:val="FF0000"/>
        </w:rPr>
        <w:t xml:space="preserve"> </w:t>
      </w:r>
      <w:r>
        <w:t>Non-attendance is recorded as per Department of Education Guidelines on the Aladdin system. The standard absence form will be stored in each child’s personal file in t</w:t>
      </w:r>
      <w:r>
        <w:t xml:space="preserve">he filing cabinet at the end of each school year. </w:t>
      </w:r>
      <w:r>
        <w:rPr>
          <w:color w:val="38761D"/>
        </w:rPr>
        <w:t xml:space="preserve"> </w:t>
      </w:r>
      <w:r>
        <w:t>At the end of each reporting period, the appropriate data is forwarded to TUSLA</w:t>
      </w:r>
      <w:r>
        <w:rPr>
          <w:b/>
        </w:rPr>
        <w:t xml:space="preserve"> </w:t>
      </w:r>
      <w:r>
        <w:t>Educational Welfare Services - Child and Family Agency.</w:t>
      </w:r>
    </w:p>
    <w:p w14:paraId="0000002A" w14:textId="77777777" w:rsidR="008B0026" w:rsidRDefault="008B0026">
      <w:pPr>
        <w:rPr>
          <w:b/>
          <w:u w:val="single"/>
        </w:rPr>
      </w:pPr>
    </w:p>
    <w:p w14:paraId="0000002B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Strategies to Promote Attendance:</w:t>
      </w:r>
    </w:p>
    <w:p w14:paraId="0000002C" w14:textId="77777777" w:rsidR="008B0026" w:rsidRDefault="005B18B7">
      <w:pPr>
        <w:numPr>
          <w:ilvl w:val="0"/>
          <w:numId w:val="5"/>
        </w:numPr>
      </w:pPr>
      <w:r>
        <w:t>It is endeavoured to make each pupil feel welcome, safe and comfortable in the school.</w:t>
      </w:r>
    </w:p>
    <w:p w14:paraId="0000002D" w14:textId="77777777" w:rsidR="008B0026" w:rsidRDefault="005B18B7">
      <w:pPr>
        <w:numPr>
          <w:ilvl w:val="0"/>
          <w:numId w:val="5"/>
        </w:numPr>
      </w:pPr>
      <w:r>
        <w:t>The school uniform gives each pupil a sense of pride and belonging.</w:t>
      </w:r>
    </w:p>
    <w:p w14:paraId="0000002E" w14:textId="77777777" w:rsidR="008B0026" w:rsidRDefault="005B18B7">
      <w:pPr>
        <w:numPr>
          <w:ilvl w:val="0"/>
          <w:numId w:val="5"/>
        </w:numPr>
        <w:rPr>
          <w:b/>
        </w:rPr>
      </w:pPr>
      <w:r>
        <w:t>Pupils are encouraged to fully participate in all school activities and equal access is given to all.</w:t>
      </w:r>
    </w:p>
    <w:p w14:paraId="0000002F" w14:textId="77777777" w:rsidR="008B0026" w:rsidRDefault="005B18B7">
      <w:pPr>
        <w:numPr>
          <w:ilvl w:val="0"/>
          <w:numId w:val="5"/>
        </w:numPr>
        <w:rPr>
          <w:b/>
        </w:rPr>
      </w:pPr>
      <w:r>
        <w:t>Enforcement of the Code of Behaviour and the Anti- Bullying Policy should encourage all pupils to feel good about coming to school.</w:t>
      </w:r>
    </w:p>
    <w:p w14:paraId="00000030" w14:textId="77777777" w:rsidR="008B0026" w:rsidRDefault="005B18B7">
      <w:pPr>
        <w:numPr>
          <w:ilvl w:val="0"/>
          <w:numId w:val="5"/>
        </w:numPr>
        <w:rPr>
          <w:b/>
        </w:rPr>
      </w:pPr>
      <w:r>
        <w:t>Through the Special Educational Needs Policy it is endeavoured to help each pupil to achieve his/her potential and in so do</w:t>
      </w:r>
      <w:r>
        <w:t>ing maintain a positive attitude towards school attendance.</w:t>
      </w:r>
    </w:p>
    <w:p w14:paraId="00000031" w14:textId="77777777" w:rsidR="008B0026" w:rsidRDefault="005B18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Parents are informed of the Role of  TUSLA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Educational Welfare Services - Child </w:t>
      </w:r>
    </w:p>
    <w:p w14:paraId="00000032" w14:textId="77777777" w:rsidR="008B0026" w:rsidRDefault="005B18B7">
      <w:r>
        <w:t xml:space="preserve">            and Family Agency and the necessity to return absence notes to the school.</w:t>
      </w:r>
    </w:p>
    <w:p w14:paraId="00000033" w14:textId="77777777" w:rsidR="008B0026" w:rsidRDefault="005B18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Board of Management of St John’s N.S. encourages parents not to take children out of school to go on holiday during term-time.</w:t>
      </w:r>
    </w:p>
    <w:p w14:paraId="00000034" w14:textId="77777777" w:rsidR="008B0026" w:rsidRDefault="008B0026">
      <w:pPr>
        <w:rPr>
          <w:b/>
        </w:rPr>
      </w:pPr>
    </w:p>
    <w:p w14:paraId="00000035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Roles and Responsibilities:</w:t>
      </w:r>
    </w:p>
    <w:p w14:paraId="00000036" w14:textId="77777777" w:rsidR="008B0026" w:rsidRDefault="008B0026">
      <w:pPr>
        <w:rPr>
          <w:b/>
          <w:u w:val="single"/>
        </w:rPr>
      </w:pPr>
    </w:p>
    <w:p w14:paraId="00000037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Role of the Board of Management:</w:t>
      </w:r>
    </w:p>
    <w:p w14:paraId="00000038" w14:textId="77777777" w:rsidR="008B0026" w:rsidRDefault="005B18B7">
      <w:r>
        <w:t>-To prepare a ‘School Statement of Strategy for School Attenda</w:t>
      </w:r>
      <w:r>
        <w:t>nce’ and to submit this to the Patron and to TUSLA</w:t>
      </w:r>
      <w:r>
        <w:rPr>
          <w:b/>
        </w:rPr>
        <w:t xml:space="preserve"> </w:t>
      </w:r>
      <w:r>
        <w:t>Educational Welfare Services - Child and Family Agency.</w:t>
      </w:r>
    </w:p>
    <w:p w14:paraId="00000039" w14:textId="77777777" w:rsidR="008B0026" w:rsidRDefault="008B0026">
      <w:pPr>
        <w:rPr>
          <w:b/>
          <w:u w:val="single"/>
        </w:rPr>
      </w:pPr>
    </w:p>
    <w:p w14:paraId="0000003A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Role of Parents:</w:t>
      </w:r>
    </w:p>
    <w:p w14:paraId="0000003B" w14:textId="77777777" w:rsidR="008B0026" w:rsidRDefault="005B18B7">
      <w:r>
        <w:t>-To encourage a positive attitude towards school</w:t>
      </w:r>
    </w:p>
    <w:p w14:paraId="0000003C" w14:textId="77777777" w:rsidR="008B0026" w:rsidRDefault="005B18B7">
      <w:r>
        <w:t>-To encourage a pride in good attendance</w:t>
      </w:r>
    </w:p>
    <w:p w14:paraId="0000003D" w14:textId="77777777" w:rsidR="008B0026" w:rsidRDefault="005B18B7">
      <w:r>
        <w:t>-To notify the school in writing of the r</w:t>
      </w:r>
      <w:r>
        <w:t xml:space="preserve">easons for a pupil’s absence in accordance with the    Education Act. </w:t>
      </w:r>
      <w:r>
        <w:rPr>
          <w:color w:val="FF0000"/>
        </w:rPr>
        <w:t xml:space="preserve"> </w:t>
      </w:r>
      <w:r>
        <w:t>A standard absence form is sent home with  each child after each absence.  Parents must complete and return this form.</w:t>
      </w:r>
    </w:p>
    <w:p w14:paraId="0000003E" w14:textId="77777777" w:rsidR="008B0026" w:rsidRDefault="005B18B7">
      <w:r>
        <w:t>-A pupil who is unwell should be kept at home until well enough to</w:t>
      </w:r>
      <w:r>
        <w:t xml:space="preserve"> return to school</w:t>
      </w:r>
    </w:p>
    <w:p w14:paraId="0000003F" w14:textId="77777777" w:rsidR="008B0026" w:rsidRDefault="008B0026"/>
    <w:p w14:paraId="00000040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Role of the Principal/Acting Principal:</w:t>
      </w:r>
    </w:p>
    <w:p w14:paraId="00000041" w14:textId="77777777" w:rsidR="008B0026" w:rsidRDefault="005B18B7">
      <w:r>
        <w:t>-To record pupil attendance on the Aladdin System daily.</w:t>
      </w:r>
    </w:p>
    <w:p w14:paraId="00000042" w14:textId="77777777" w:rsidR="008B0026" w:rsidRDefault="005B18B7">
      <w:r>
        <w:t>-To ensure all absence forms are stored in the pupils’ files at the end of the year.</w:t>
      </w:r>
    </w:p>
    <w:p w14:paraId="00000043" w14:textId="77777777" w:rsidR="008B0026" w:rsidRDefault="005B18B7">
      <w:r>
        <w:t xml:space="preserve">-To assess the level of absenteeism at the end of each </w:t>
      </w:r>
      <w:r>
        <w:t xml:space="preserve">term and to follow up through informal  </w:t>
      </w:r>
      <w:r>
        <w:br/>
        <w:t xml:space="preserve">  correspondence with parents when deemed necessary</w:t>
      </w:r>
    </w:p>
    <w:p w14:paraId="00000044" w14:textId="77777777" w:rsidR="008B0026" w:rsidRDefault="005B18B7">
      <w:r>
        <w:lastRenderedPageBreak/>
        <w:t>-To send a standard letter to parents when a pupil has been absent for 20 days.</w:t>
      </w:r>
    </w:p>
    <w:p w14:paraId="00000045" w14:textId="77777777" w:rsidR="008B0026" w:rsidRDefault="005B18B7">
      <w:r>
        <w:t>-To inform TUSLA</w:t>
      </w:r>
      <w:r>
        <w:rPr>
          <w:b/>
        </w:rPr>
        <w:t xml:space="preserve"> </w:t>
      </w:r>
      <w:r>
        <w:t xml:space="preserve">Educational Welfare Services - Child and Family Agency in writing </w:t>
      </w:r>
    </w:p>
    <w:p w14:paraId="00000046" w14:textId="77777777" w:rsidR="008B0026" w:rsidRDefault="005B18B7">
      <w:r>
        <w:t xml:space="preserve">     - when a pupil is absent in excess of 20 school days in a school year.</w:t>
      </w:r>
    </w:p>
    <w:p w14:paraId="00000047" w14:textId="77777777" w:rsidR="008B0026" w:rsidRDefault="005B18B7">
      <w:r>
        <w:t xml:space="preserve">     - when a pupil is suspended for a period in excess of 6 school days.</w:t>
      </w:r>
    </w:p>
    <w:p w14:paraId="00000048" w14:textId="77777777" w:rsidR="008B0026" w:rsidRDefault="005B18B7">
      <w:r>
        <w:t xml:space="preserve">     - when a pupil is not attending regularly.</w:t>
      </w:r>
    </w:p>
    <w:p w14:paraId="00000049" w14:textId="77777777" w:rsidR="008B0026" w:rsidRDefault="008B0026"/>
    <w:p w14:paraId="0000004A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Role of the teaching staff:</w:t>
      </w:r>
    </w:p>
    <w:p w14:paraId="0000004B" w14:textId="77777777" w:rsidR="008B0026" w:rsidRDefault="005B18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To ensure </w:t>
      </w:r>
      <w:r>
        <w:t xml:space="preserve">the standard </w:t>
      </w:r>
      <w:r>
        <w:t xml:space="preserve">absence </w:t>
      </w:r>
      <w:r>
        <w:t>form is sent home, with each child, after each absence.  This form must be completed by parents and returned to the class teacher.</w:t>
      </w:r>
      <w:r>
        <w:rPr>
          <w:color w:val="38761D"/>
        </w:rPr>
        <w:t xml:space="preserve">  </w:t>
      </w:r>
    </w:p>
    <w:p w14:paraId="0000004C" w14:textId="77777777" w:rsidR="008B0026" w:rsidRDefault="008B002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D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Monitoring and Review:</w:t>
      </w:r>
    </w:p>
    <w:p w14:paraId="0000004E" w14:textId="77777777" w:rsidR="008B0026" w:rsidRDefault="005B18B7">
      <w:r>
        <w:t>This policy, in accordance with the Education (Welfare) Act 2000, in conjuncti</w:t>
      </w:r>
      <w:r>
        <w:t>on with ‘The Statement of Strategy for School Attendance’, will be regularly reviewed by representatives of the Patron, the Board of Management, parents and teachers.</w:t>
      </w:r>
    </w:p>
    <w:p w14:paraId="0000004F" w14:textId="77777777" w:rsidR="008B0026" w:rsidRDefault="008B0026">
      <w:pPr>
        <w:rPr>
          <w:b/>
          <w:u w:val="single"/>
        </w:rPr>
      </w:pPr>
    </w:p>
    <w:p w14:paraId="00000050" w14:textId="77777777" w:rsidR="008B0026" w:rsidRDefault="005B18B7">
      <w:pPr>
        <w:rPr>
          <w:b/>
          <w:u w:val="single"/>
        </w:rPr>
      </w:pPr>
      <w:r>
        <w:rPr>
          <w:b/>
          <w:u w:val="single"/>
        </w:rPr>
        <w:t>Modification Clause:</w:t>
      </w:r>
    </w:p>
    <w:p w14:paraId="00000051" w14:textId="77777777" w:rsidR="008B0026" w:rsidRDefault="005B18B7">
      <w:r>
        <w:t>The Board of Management reserves the right to modify details of the</w:t>
      </w:r>
      <w:r>
        <w:t xml:space="preserve"> Attendance Policy at short notice. Such modification may be needed in an ever-changing environment and social context.</w:t>
      </w:r>
    </w:p>
    <w:p w14:paraId="00000052" w14:textId="77777777" w:rsidR="008B0026" w:rsidRDefault="008B0026"/>
    <w:p w14:paraId="00000053" w14:textId="77777777" w:rsidR="008B0026" w:rsidRDefault="005B18B7">
      <w:pPr>
        <w:rPr>
          <w:b/>
        </w:rPr>
      </w:pPr>
      <w:r>
        <w:rPr>
          <w:b/>
        </w:rPr>
        <w:t>Policy reviewed and ratified on the following dates:</w:t>
      </w:r>
    </w:p>
    <w:p w14:paraId="00000054" w14:textId="77777777" w:rsidR="008B0026" w:rsidRDefault="005B18B7">
      <w:pPr>
        <w:numPr>
          <w:ilvl w:val="0"/>
          <w:numId w:val="1"/>
        </w:numPr>
      </w:pPr>
      <w:r>
        <w:t>Thursday, 17</w:t>
      </w:r>
      <w:r>
        <w:rPr>
          <w:vertAlign w:val="superscript"/>
        </w:rPr>
        <w:t>th</w:t>
      </w:r>
      <w:r>
        <w:t xml:space="preserve"> October, 2019 </w:t>
      </w:r>
    </w:p>
    <w:p w14:paraId="00000055" w14:textId="77777777" w:rsidR="008B0026" w:rsidRDefault="005B18B7">
      <w:pPr>
        <w:numPr>
          <w:ilvl w:val="0"/>
          <w:numId w:val="1"/>
        </w:numPr>
      </w:pPr>
      <w:r>
        <w:t>Friday, 8th October 2021</w:t>
      </w:r>
    </w:p>
    <w:p w14:paraId="00000056" w14:textId="77777777" w:rsidR="008B0026" w:rsidRDefault="005B18B7">
      <w:pPr>
        <w:numPr>
          <w:ilvl w:val="0"/>
          <w:numId w:val="1"/>
        </w:numPr>
      </w:pPr>
      <w:r>
        <w:t>Wednesday, 19th October 202</w:t>
      </w:r>
      <w:r>
        <w:t>2</w:t>
      </w:r>
    </w:p>
    <w:p w14:paraId="00000057" w14:textId="77777777" w:rsidR="008B0026" w:rsidRDefault="005B18B7">
      <w:pPr>
        <w:numPr>
          <w:ilvl w:val="0"/>
          <w:numId w:val="1"/>
        </w:numPr>
      </w:pPr>
      <w:r>
        <w:t>Thursday 12th October 2023</w:t>
      </w:r>
    </w:p>
    <w:p w14:paraId="00000058" w14:textId="77777777" w:rsidR="008B0026" w:rsidRDefault="008B0026"/>
    <w:p w14:paraId="00000059" w14:textId="77777777" w:rsidR="008B0026" w:rsidRDefault="008B0026"/>
    <w:p w14:paraId="0000005A" w14:textId="77777777" w:rsidR="008B0026" w:rsidRDefault="005B18B7">
      <w:pPr>
        <w:rPr>
          <w:b/>
        </w:rPr>
      </w:pPr>
      <w:r>
        <w:rPr>
          <w:b/>
        </w:rPr>
        <w:t>Signed:</w:t>
      </w:r>
      <w:r>
        <w:t xml:space="preserve">__________________________               </w:t>
      </w:r>
      <w:r>
        <w:rPr>
          <w:b/>
        </w:rPr>
        <w:t>Date: _________________________</w:t>
      </w:r>
    </w:p>
    <w:p w14:paraId="0000005B" w14:textId="77777777" w:rsidR="008B0026" w:rsidRDefault="005B18B7">
      <w:pPr>
        <w:ind w:left="720" w:firstLine="720"/>
        <w:rPr>
          <w:b/>
        </w:rPr>
      </w:pPr>
      <w:r>
        <w:t xml:space="preserve">Chairperson, </w:t>
      </w:r>
    </w:p>
    <w:p w14:paraId="0000005C" w14:textId="77777777" w:rsidR="008B0026" w:rsidRDefault="005B18B7">
      <w:pPr>
        <w:ind w:left="1440"/>
      </w:pPr>
      <w:r>
        <w:t>Board of Management</w:t>
      </w:r>
      <w:r>
        <w:tab/>
      </w:r>
      <w:r>
        <w:tab/>
      </w:r>
    </w:p>
    <w:p w14:paraId="0000005D" w14:textId="77777777" w:rsidR="008B0026" w:rsidRDefault="008B0026">
      <w:pPr>
        <w:ind w:left="1440"/>
      </w:pPr>
    </w:p>
    <w:p w14:paraId="0000005E" w14:textId="77777777" w:rsidR="008B0026" w:rsidRDefault="005B18B7">
      <w:pPr>
        <w:rPr>
          <w:b/>
        </w:rPr>
      </w:pPr>
      <w:r>
        <w:rPr>
          <w:b/>
        </w:rPr>
        <w:t>Signed__________________________</w:t>
      </w:r>
      <w:r>
        <w:rPr>
          <w:b/>
        </w:rPr>
        <w:tab/>
      </w:r>
      <w:r>
        <w:rPr>
          <w:b/>
        </w:rPr>
        <w:t xml:space="preserve">       Date: _________________________</w:t>
      </w:r>
    </w:p>
    <w:p w14:paraId="0000005F" w14:textId="77777777" w:rsidR="008B0026" w:rsidRDefault="005B18B7">
      <w:r>
        <w:rPr>
          <w:b/>
        </w:rPr>
        <w:tab/>
      </w:r>
      <w:r>
        <w:rPr>
          <w:b/>
        </w:rPr>
        <w:tab/>
      </w:r>
      <w:r>
        <w:t>Principal</w:t>
      </w:r>
    </w:p>
    <w:p w14:paraId="00000060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1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2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3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4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5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6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7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8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9" w14:textId="77777777" w:rsidR="008B0026" w:rsidRDefault="008B0026">
      <w:pPr>
        <w:jc w:val="center"/>
        <w:rPr>
          <w:rFonts w:ascii="Vivaldi" w:eastAsia="Vivaldi" w:hAnsi="Vivaldi" w:cs="Vivaldi"/>
          <w:b/>
          <w:i/>
        </w:rPr>
      </w:pPr>
    </w:p>
    <w:p w14:paraId="0000006A" w14:textId="77777777" w:rsidR="008B0026" w:rsidRDefault="008B0026">
      <w:pPr>
        <w:jc w:val="center"/>
        <w:rPr>
          <w:rFonts w:ascii="Vivaldi" w:eastAsia="Vivaldi" w:hAnsi="Vivaldi" w:cs="Vivaldi"/>
        </w:rPr>
      </w:pPr>
    </w:p>
    <w:p w14:paraId="0000006B" w14:textId="77777777" w:rsidR="008B0026" w:rsidRDefault="008B0026"/>
    <w:sectPr w:rsidR="008B0026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5737" w14:textId="77777777" w:rsidR="005B18B7" w:rsidRDefault="005B18B7">
      <w:r>
        <w:separator/>
      </w:r>
    </w:p>
  </w:endnote>
  <w:endnote w:type="continuationSeparator" w:id="0">
    <w:p w14:paraId="437A13FA" w14:textId="77777777" w:rsidR="005B18B7" w:rsidRDefault="005B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271B314E" w:rsidR="008B0026" w:rsidRDefault="005B18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7921">
      <w:rPr>
        <w:noProof/>
        <w:color w:val="000000"/>
      </w:rPr>
      <w:t>1</w:t>
    </w:r>
    <w:r>
      <w:rPr>
        <w:color w:val="000000"/>
      </w:rPr>
      <w:fldChar w:fldCharType="end"/>
    </w:r>
  </w:p>
  <w:p w14:paraId="0000006D" w14:textId="77777777" w:rsidR="008B0026" w:rsidRDefault="008B00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631B" w14:textId="77777777" w:rsidR="005B18B7" w:rsidRDefault="005B18B7">
      <w:r>
        <w:separator/>
      </w:r>
    </w:p>
  </w:footnote>
  <w:footnote w:type="continuationSeparator" w:id="0">
    <w:p w14:paraId="5B02F616" w14:textId="77777777" w:rsidR="005B18B7" w:rsidRDefault="005B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362D"/>
    <w:multiLevelType w:val="multilevel"/>
    <w:tmpl w:val="52667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632395"/>
    <w:multiLevelType w:val="multilevel"/>
    <w:tmpl w:val="A0C66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E91753"/>
    <w:multiLevelType w:val="multilevel"/>
    <w:tmpl w:val="1CC8A0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89D5B69"/>
    <w:multiLevelType w:val="multilevel"/>
    <w:tmpl w:val="0BB20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BF7054"/>
    <w:multiLevelType w:val="multilevel"/>
    <w:tmpl w:val="1C240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26"/>
    <w:rsid w:val="00247921"/>
    <w:rsid w:val="005B18B7"/>
    <w:rsid w:val="008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AE06A-CEF4-4598-A600-BBB3618D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Johns</dc:creator>
  <cp:lastModifiedBy>Office</cp:lastModifiedBy>
  <cp:revision>2</cp:revision>
  <dcterms:created xsi:type="dcterms:W3CDTF">2023-10-19T14:07:00Z</dcterms:created>
  <dcterms:modified xsi:type="dcterms:W3CDTF">2023-10-19T14:07:00Z</dcterms:modified>
</cp:coreProperties>
</file>