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4B4" w14:textId="77777777" w:rsidR="00C17677" w:rsidRDefault="00BE6261">
      <w:pPr>
        <w:keepNext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>St. John’s N.S.</w:t>
      </w:r>
    </w:p>
    <w:p w14:paraId="3F946833" w14:textId="77777777" w:rsidR="00C17677" w:rsidRDefault="00BE626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Ballinalee Road,</w:t>
      </w:r>
    </w:p>
    <w:p w14:paraId="3B6E3B47" w14:textId="77777777" w:rsidR="00C17677" w:rsidRDefault="00BE626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Edgeworthstown,</w:t>
      </w:r>
    </w:p>
    <w:p w14:paraId="0EE4E8F7" w14:textId="77777777" w:rsidR="00C17677" w:rsidRDefault="00BE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Co. Longford</w:t>
      </w:r>
    </w:p>
    <w:p w14:paraId="7EC9FADB" w14:textId="77777777" w:rsidR="00C17677" w:rsidRDefault="00BE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N39 F211</w:t>
      </w:r>
    </w:p>
    <w:p w14:paraId="25A9AD6E" w14:textId="77777777" w:rsidR="00C17677" w:rsidRDefault="00BE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(043) 6671620</w:t>
      </w:r>
    </w:p>
    <w:p w14:paraId="796F10D3" w14:textId="77777777" w:rsidR="00C17677" w:rsidRDefault="00BE6261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info@stjohnsnsedgeworthstown.ie</w:t>
      </w:r>
    </w:p>
    <w:p w14:paraId="34E573E0" w14:textId="77777777" w:rsidR="00C17677" w:rsidRDefault="00C17677"/>
    <w:p w14:paraId="619B30B7" w14:textId="77777777" w:rsidR="00C17677" w:rsidRDefault="00C17677"/>
    <w:p w14:paraId="19A8BC3E" w14:textId="77777777" w:rsidR="00C17677" w:rsidRDefault="00BE62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Statement of Strategy for School Attendance </w:t>
      </w:r>
    </w:p>
    <w:p w14:paraId="794A4F3E" w14:textId="77777777" w:rsidR="00C17677" w:rsidRDefault="00C17677"/>
    <w:tbl>
      <w:tblPr>
        <w:tblStyle w:val="a"/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5444"/>
      </w:tblGrid>
      <w:tr w:rsidR="00C17677" w14:paraId="234E9BCC" w14:textId="77777777">
        <w:tc>
          <w:tcPr>
            <w:tcW w:w="3690" w:type="dxa"/>
            <w:shd w:val="clear" w:color="auto" w:fill="DBE5F1"/>
          </w:tcPr>
          <w:p w14:paraId="32CEEA9F" w14:textId="77777777" w:rsidR="00C17677" w:rsidRDefault="00BE6261">
            <w:pPr>
              <w:spacing w:after="120"/>
            </w:pPr>
            <w:r>
              <w:t>Name of school</w:t>
            </w:r>
          </w:p>
        </w:tc>
        <w:tc>
          <w:tcPr>
            <w:tcW w:w="5444" w:type="dxa"/>
          </w:tcPr>
          <w:p w14:paraId="470B9B38" w14:textId="77777777" w:rsidR="00C17677" w:rsidRDefault="00BE6261">
            <w:r>
              <w:t>St John’s N.S.</w:t>
            </w:r>
          </w:p>
        </w:tc>
      </w:tr>
      <w:tr w:rsidR="00C17677" w14:paraId="79E0CD0E" w14:textId="77777777">
        <w:tc>
          <w:tcPr>
            <w:tcW w:w="3690" w:type="dxa"/>
            <w:shd w:val="clear" w:color="auto" w:fill="DBE5F1"/>
          </w:tcPr>
          <w:p w14:paraId="19BB9C88" w14:textId="77777777" w:rsidR="00C17677" w:rsidRDefault="00BE6261">
            <w:pPr>
              <w:spacing w:after="120"/>
            </w:pPr>
            <w:r>
              <w:t>Address</w:t>
            </w:r>
          </w:p>
        </w:tc>
        <w:tc>
          <w:tcPr>
            <w:tcW w:w="5444" w:type="dxa"/>
          </w:tcPr>
          <w:p w14:paraId="4D70C274" w14:textId="77777777" w:rsidR="00C17677" w:rsidRDefault="00BE6261">
            <w:r>
              <w:t>Ballinalee Road, Edgeworthstown, Co. Longford</w:t>
            </w:r>
          </w:p>
        </w:tc>
      </w:tr>
      <w:tr w:rsidR="00C17677" w14:paraId="7F741FB1" w14:textId="77777777">
        <w:tc>
          <w:tcPr>
            <w:tcW w:w="3690" w:type="dxa"/>
            <w:shd w:val="clear" w:color="auto" w:fill="DBE5F1"/>
          </w:tcPr>
          <w:p w14:paraId="40278806" w14:textId="77777777" w:rsidR="00C17677" w:rsidRDefault="00BE6261">
            <w:pPr>
              <w:spacing w:after="120"/>
            </w:pPr>
            <w:r>
              <w:t>Roll Number</w:t>
            </w:r>
          </w:p>
        </w:tc>
        <w:tc>
          <w:tcPr>
            <w:tcW w:w="5444" w:type="dxa"/>
          </w:tcPr>
          <w:p w14:paraId="479A246C" w14:textId="77777777" w:rsidR="00C17677" w:rsidRDefault="00BE6261">
            <w:r>
              <w:t>13313s</w:t>
            </w:r>
          </w:p>
        </w:tc>
      </w:tr>
      <w:tr w:rsidR="00C17677" w14:paraId="0F1F6BE1" w14:textId="77777777">
        <w:tc>
          <w:tcPr>
            <w:tcW w:w="3690" w:type="dxa"/>
            <w:shd w:val="clear" w:color="auto" w:fill="DBE5F1"/>
          </w:tcPr>
          <w:p w14:paraId="24F0CF0D" w14:textId="77777777" w:rsidR="00C17677" w:rsidRDefault="00BE6261">
            <w:pPr>
              <w:spacing w:after="120"/>
            </w:pPr>
            <w:r>
              <w:t>The school’s vision and values in relation to attendance</w:t>
            </w:r>
          </w:p>
        </w:tc>
        <w:tc>
          <w:tcPr>
            <w:tcW w:w="5444" w:type="dxa"/>
          </w:tcPr>
          <w:p w14:paraId="4543E20A" w14:textId="77777777" w:rsidR="00C17677" w:rsidRDefault="00BE62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Encouraging full attendance where possible</w:t>
            </w:r>
          </w:p>
          <w:p w14:paraId="58437BF0" w14:textId="77777777" w:rsidR="00C17677" w:rsidRDefault="00BE62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Promoting a positive learning environment</w:t>
            </w:r>
          </w:p>
          <w:p w14:paraId="2FF68C04" w14:textId="77777777" w:rsidR="00C17677" w:rsidRDefault="00BE62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Building community support for attendance particularly involving parents in setting high expectations</w:t>
            </w:r>
          </w:p>
          <w:p w14:paraId="20664986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C17677" w14:paraId="2AF43C34" w14:textId="77777777">
        <w:tc>
          <w:tcPr>
            <w:tcW w:w="3690" w:type="dxa"/>
            <w:shd w:val="clear" w:color="auto" w:fill="DBE5F1"/>
          </w:tcPr>
          <w:p w14:paraId="437A542E" w14:textId="77777777" w:rsidR="00C17677" w:rsidRDefault="00BE6261">
            <w:pPr>
              <w:spacing w:after="120"/>
            </w:pPr>
            <w:r>
              <w:t>The school’s high expectations around attendance</w:t>
            </w:r>
          </w:p>
        </w:tc>
        <w:tc>
          <w:tcPr>
            <w:tcW w:w="5444" w:type="dxa"/>
          </w:tcPr>
          <w:p w14:paraId="46FC4074" w14:textId="77777777" w:rsidR="00C17677" w:rsidRDefault="00BE6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school’s ethos, policies and practices effectively combine to support the school’s high expectations around attendance.</w:t>
            </w:r>
          </w:p>
          <w:p w14:paraId="56417084" w14:textId="77777777" w:rsidR="00C17677" w:rsidRDefault="00BE6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are expected to be in school every day that they are fit and well enough to attend.</w:t>
            </w:r>
          </w:p>
          <w:p w14:paraId="278651A5" w14:textId="77777777" w:rsidR="00C17677" w:rsidRDefault="00BE6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are expected to complete a full school day.</w:t>
            </w:r>
          </w:p>
          <w:p w14:paraId="66F6EAAD" w14:textId="77777777" w:rsidR="00C17677" w:rsidRDefault="00BE6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are expected to be punctual.</w:t>
            </w:r>
          </w:p>
          <w:p w14:paraId="2995D07B" w14:textId="77777777" w:rsidR="00C17677" w:rsidRDefault="00BE6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Parental involvement in school life is encouraged.</w:t>
            </w:r>
          </w:p>
          <w:p w14:paraId="736BCC28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098413B2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C17677" w14:paraId="0F39B6E6" w14:textId="77777777">
        <w:tc>
          <w:tcPr>
            <w:tcW w:w="3690" w:type="dxa"/>
            <w:shd w:val="clear" w:color="auto" w:fill="DBE5F1"/>
          </w:tcPr>
          <w:p w14:paraId="76B654A1" w14:textId="77777777" w:rsidR="00C17677" w:rsidRDefault="00BE6261">
            <w:pPr>
              <w:spacing w:after="120"/>
            </w:pPr>
            <w:r>
              <w:t>How attendance will be monitored</w:t>
            </w:r>
          </w:p>
        </w:tc>
        <w:tc>
          <w:tcPr>
            <w:tcW w:w="5444" w:type="dxa"/>
          </w:tcPr>
          <w:p w14:paraId="4BD9981A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Attendance is recorded daily on the Aladdin System.</w:t>
            </w:r>
          </w:p>
          <w:p w14:paraId="75AD01C5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annual attendance of each individual pupil is recorded on Aladdin, together with information provided in enrolment forms e.g. pupil’s name, date of birth, address etc.  </w:t>
            </w:r>
          </w:p>
          <w:p w14:paraId="0929EB17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information is uploaded on</w:t>
            </w:r>
            <w:r>
              <w:t>to the Primary Online Database. (POD)</w:t>
            </w:r>
          </w:p>
          <w:p w14:paraId="282C8309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roll call is taken at 9.20am each day.</w:t>
            </w:r>
            <w:r>
              <w:t xml:space="preserve"> </w:t>
            </w:r>
          </w:p>
          <w:p w14:paraId="4EABB427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Numbers of absences are analysed at the end of each term. </w:t>
            </w:r>
          </w:p>
          <w:p w14:paraId="2C2B2BBD" w14:textId="77777777" w:rsidR="00C17677" w:rsidRDefault="00BE62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must complete the Standard Absence Form each time their child is absent from school.</w:t>
            </w:r>
          </w:p>
        </w:tc>
      </w:tr>
      <w:tr w:rsidR="00C17677" w14:paraId="217C4BBB" w14:textId="77777777">
        <w:tc>
          <w:tcPr>
            <w:tcW w:w="3690" w:type="dxa"/>
            <w:shd w:val="clear" w:color="auto" w:fill="DBE5F1"/>
          </w:tcPr>
          <w:p w14:paraId="342A42BD" w14:textId="77777777" w:rsidR="00C17677" w:rsidRDefault="00BE6261">
            <w:pPr>
              <w:spacing w:after="60"/>
            </w:pPr>
            <w:r>
              <w:t>Summary of the main e</w:t>
            </w:r>
            <w:r>
              <w:t>lements of the school’s approach to attendance:</w:t>
            </w:r>
          </w:p>
          <w:p w14:paraId="544F1471" w14:textId="77777777" w:rsidR="00C17677" w:rsidRDefault="00BE6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432" w:hanging="274"/>
              <w:rPr>
                <w:color w:val="000000"/>
              </w:rPr>
            </w:pPr>
            <w:r>
              <w:rPr>
                <w:color w:val="000000"/>
              </w:rPr>
              <w:t>Target setting and targets</w:t>
            </w:r>
          </w:p>
          <w:p w14:paraId="78D00D56" w14:textId="77777777" w:rsidR="00C17677" w:rsidRDefault="00BE6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432" w:hanging="274"/>
              <w:rPr>
                <w:color w:val="000000"/>
              </w:rPr>
            </w:pPr>
            <w:r>
              <w:rPr>
                <w:color w:val="000000"/>
              </w:rPr>
              <w:t xml:space="preserve">The whole-school approach </w:t>
            </w:r>
          </w:p>
          <w:p w14:paraId="609C97B9" w14:textId="77777777" w:rsidR="00C17677" w:rsidRDefault="00BE6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432" w:hanging="27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Promoting good attendance </w:t>
            </w:r>
          </w:p>
          <w:p w14:paraId="72757B3B" w14:textId="77777777" w:rsidR="00C17677" w:rsidRDefault="00BE6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32" w:hanging="274"/>
              <w:rPr>
                <w:color w:val="000000"/>
              </w:rPr>
            </w:pPr>
            <w:r>
              <w:rPr>
                <w:color w:val="000000"/>
              </w:rPr>
              <w:t>Responding to poor attendance</w:t>
            </w:r>
          </w:p>
        </w:tc>
        <w:tc>
          <w:tcPr>
            <w:tcW w:w="5444" w:type="dxa"/>
          </w:tcPr>
          <w:p w14:paraId="20057D46" w14:textId="77777777" w:rsidR="00C17677" w:rsidRDefault="00BE6261">
            <w:r>
              <w:lastRenderedPageBreak/>
              <w:t xml:space="preserve">Target setting and targets: </w:t>
            </w:r>
          </w:p>
          <w:p w14:paraId="0DA39D35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school strives for the target of best-possible attendance for each pupil, making allowances for  the specific health issues of some pupils  </w:t>
            </w:r>
          </w:p>
          <w:p w14:paraId="58D2A543" w14:textId="77777777" w:rsidR="00C17677" w:rsidRDefault="00BE6261">
            <w:r>
              <w:lastRenderedPageBreak/>
              <w:t xml:space="preserve">Promoting good attendance: </w:t>
            </w:r>
          </w:p>
          <w:p w14:paraId="241ADF39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are encouraged to make good choices in relation to attendance e.g. not taking children on holidays during term time, the importance of keeping a child at home if the child is sick.</w:t>
            </w:r>
          </w:p>
          <w:p w14:paraId="35F2460E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Being vigilant so that risks to good attendance are identified earl</w:t>
            </w:r>
            <w:r>
              <w:t xml:space="preserve">y. </w:t>
            </w:r>
          </w:p>
          <w:p w14:paraId="2A765157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81B50AC" w14:textId="77777777" w:rsidR="00C17677" w:rsidRDefault="00BE6261">
            <w:r>
              <w:t>Responding to poor attendance:</w:t>
            </w:r>
          </w:p>
          <w:p w14:paraId="6AF296B2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Supportive engagement with pupils who are potentially at risk of poor attendance  </w:t>
            </w:r>
          </w:p>
          <w:p w14:paraId="778C1E0D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are reminded of how many days their child has been absent on the Standard Absence Form which is sent home after each absence.</w:t>
            </w:r>
          </w:p>
          <w:p w14:paraId="5569CE6F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s</w:t>
            </w:r>
            <w:r>
              <w:t>tandard letter is sent to parents after a pupil has been absent for 20 days.</w:t>
            </w:r>
          </w:p>
          <w:p w14:paraId="57215FF3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Student Absence Report is completed and returned to the Educational Welfare Services each December and June for any pupil who has missed 20 days or more. </w:t>
            </w:r>
          </w:p>
          <w:p w14:paraId="366ACF22" w14:textId="77777777" w:rsidR="00C17677" w:rsidRDefault="00BE62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The Annual Attendan</w:t>
            </w:r>
            <w:r>
              <w:t xml:space="preserve">ce Report is completed and returned to the Educational Welfare Services at the end of each school year.  </w:t>
            </w:r>
          </w:p>
          <w:p w14:paraId="3A992DBC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C17677" w14:paraId="6859E642" w14:textId="77777777">
        <w:tc>
          <w:tcPr>
            <w:tcW w:w="3690" w:type="dxa"/>
            <w:shd w:val="clear" w:color="auto" w:fill="DBE5F1"/>
          </w:tcPr>
          <w:p w14:paraId="387214E2" w14:textId="77777777" w:rsidR="00C17677" w:rsidRDefault="00BE6261">
            <w:pPr>
              <w:spacing w:after="120"/>
            </w:pPr>
            <w:r>
              <w:lastRenderedPageBreak/>
              <w:t>School roles in relation to attendance</w:t>
            </w:r>
          </w:p>
        </w:tc>
        <w:tc>
          <w:tcPr>
            <w:tcW w:w="5444" w:type="dxa"/>
          </w:tcPr>
          <w:p w14:paraId="0B97F4AD" w14:textId="77777777" w:rsidR="00C17677" w:rsidRDefault="00BE62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u w:val="single"/>
              </w:rPr>
              <w:t>The Board of Management:</w:t>
            </w:r>
            <w:r>
              <w:t xml:space="preserve"> has the responsibility for the preparation of the ‘School Statement of Strategy for School Attendance’ and for its submission to the Patron. The Board also submits this statement to TUSLA: Education Welfare Services: Child and Family Agency  at </w:t>
            </w:r>
            <w:hyperlink r:id="rId5">
              <w:r>
                <w:rPr>
                  <w:u w:val="single"/>
                </w:rPr>
                <w:t>attendancestrategies@tusla.ie</w:t>
              </w:r>
            </w:hyperlink>
            <w:r>
              <w:t xml:space="preserve">. </w:t>
            </w:r>
          </w:p>
          <w:p w14:paraId="5F924AC4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0A4B2AB5" w14:textId="77777777" w:rsidR="00C17677" w:rsidRDefault="00BE62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u w:val="single"/>
              </w:rPr>
              <w:t>School Principal</w:t>
            </w:r>
            <w:r>
              <w:t>: has the responsibility for ensuring the ‘Attendance Policy’ as well as the school’s ‘Statement of Strategy for School Attendance‘</w:t>
            </w:r>
            <w:r>
              <w:t xml:space="preserve"> is published on the school we</w:t>
            </w:r>
            <w:r>
              <w:t>bsite.</w:t>
            </w:r>
            <w:r>
              <w:t xml:space="preserve"> Teachers and SNAs are engaged in the preparation of the school’s attendance policy and bring their professional expertise to bear in the implementation of the policy to the best effect. </w:t>
            </w:r>
          </w:p>
          <w:p w14:paraId="00B20BA5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49755AA9" w14:textId="77777777" w:rsidR="00C17677" w:rsidRDefault="00BE62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u w:val="single"/>
              </w:rPr>
              <w:t>Pupils:</w:t>
            </w:r>
            <w:r>
              <w:t xml:space="preserve">  take a growing sense of personal responsibility for </w:t>
            </w:r>
            <w:r>
              <w:t>school attendance</w:t>
            </w:r>
          </w:p>
          <w:p w14:paraId="3623D532" w14:textId="77777777" w:rsidR="00C17677" w:rsidRDefault="00C1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7B6AF44" w14:textId="77777777" w:rsidR="00C17677" w:rsidRDefault="00BE62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u w:val="single"/>
              </w:rPr>
              <w:t>Parents:</w:t>
            </w:r>
            <w:r>
              <w:t xml:space="preserve"> have a responsibility to ensure best possible attendance for their children</w:t>
            </w:r>
          </w:p>
          <w:p w14:paraId="566E7DD9" w14:textId="77777777" w:rsidR="00C17677" w:rsidRDefault="00C17677"/>
          <w:p w14:paraId="67DEC5DF" w14:textId="77777777" w:rsidR="00C17677" w:rsidRDefault="00C17677">
            <w:pPr>
              <w:ind w:left="360"/>
              <w:jc w:val="center"/>
            </w:pPr>
          </w:p>
        </w:tc>
      </w:tr>
      <w:tr w:rsidR="00C17677" w14:paraId="3A8ED97C" w14:textId="77777777">
        <w:tc>
          <w:tcPr>
            <w:tcW w:w="3690" w:type="dxa"/>
            <w:shd w:val="clear" w:color="auto" w:fill="DBE5F1"/>
          </w:tcPr>
          <w:p w14:paraId="5BE3618B" w14:textId="77777777" w:rsidR="00C17677" w:rsidRDefault="00BE6261">
            <w:pPr>
              <w:spacing w:after="120"/>
            </w:pPr>
            <w:r>
              <w:t>Partnership arrangements (parents, students, other schools, youth and community groups)</w:t>
            </w:r>
          </w:p>
        </w:tc>
        <w:tc>
          <w:tcPr>
            <w:tcW w:w="5444" w:type="dxa"/>
          </w:tcPr>
          <w:p w14:paraId="3D21FD18" w14:textId="77777777" w:rsidR="00C17677" w:rsidRDefault="00BE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All partners will be made aware of the high expectations in regard to school attendance. </w:t>
            </w:r>
            <w:r>
              <w:rPr>
                <w:color w:val="000000"/>
              </w:rPr>
              <w:lastRenderedPageBreak/>
              <w:t xml:space="preserve">Consultation will follow when attendance issues arise. </w:t>
            </w:r>
          </w:p>
          <w:p w14:paraId="5BF75543" w14:textId="77777777" w:rsidR="00C17677" w:rsidRDefault="00C17677"/>
        </w:tc>
      </w:tr>
      <w:tr w:rsidR="00C17677" w14:paraId="2FB5EC73" w14:textId="77777777">
        <w:tc>
          <w:tcPr>
            <w:tcW w:w="3690" w:type="dxa"/>
            <w:shd w:val="clear" w:color="auto" w:fill="DBE5F1"/>
          </w:tcPr>
          <w:p w14:paraId="153A4457" w14:textId="77777777" w:rsidR="00C17677" w:rsidRDefault="00BE6261">
            <w:pPr>
              <w:spacing w:after="120"/>
            </w:pPr>
            <w:r>
              <w:lastRenderedPageBreak/>
              <w:t xml:space="preserve">How the Statement of </w:t>
            </w:r>
            <w:r>
              <w:t>Strategy will be monitored</w:t>
            </w:r>
          </w:p>
        </w:tc>
        <w:tc>
          <w:tcPr>
            <w:tcW w:w="5444" w:type="dxa"/>
          </w:tcPr>
          <w:p w14:paraId="775C6C5C" w14:textId="77777777" w:rsidR="00C17677" w:rsidRDefault="00BE6261">
            <w:r>
              <w:t xml:space="preserve">The Statement of Strategy will be monitored on an annual basis and referred to should attendance issues arise in the course of the school year. </w:t>
            </w:r>
          </w:p>
        </w:tc>
      </w:tr>
      <w:tr w:rsidR="00C17677" w14:paraId="361D7DA3" w14:textId="77777777">
        <w:tc>
          <w:tcPr>
            <w:tcW w:w="3690" w:type="dxa"/>
            <w:shd w:val="clear" w:color="auto" w:fill="DBE5F1"/>
          </w:tcPr>
          <w:p w14:paraId="713CC853" w14:textId="77777777" w:rsidR="00C17677" w:rsidRDefault="00BE6261">
            <w:pPr>
              <w:spacing w:after="120"/>
            </w:pPr>
            <w:r>
              <w:t>Review process and date for review</w:t>
            </w:r>
          </w:p>
        </w:tc>
        <w:tc>
          <w:tcPr>
            <w:tcW w:w="5444" w:type="dxa"/>
          </w:tcPr>
          <w:p w14:paraId="43DDFC1B" w14:textId="77777777" w:rsidR="00C17677" w:rsidRDefault="00BE6261">
            <w:r>
              <w:t>This statement of strategy will be discussed and</w:t>
            </w:r>
            <w:r>
              <w:t xml:space="preserve"> reviewed in light of experience of the previous school year at the first Board of Management meeting of the school year.</w:t>
            </w:r>
          </w:p>
        </w:tc>
      </w:tr>
      <w:tr w:rsidR="00C17677" w14:paraId="635E7C42" w14:textId="77777777">
        <w:tc>
          <w:tcPr>
            <w:tcW w:w="3690" w:type="dxa"/>
            <w:shd w:val="clear" w:color="auto" w:fill="DBE5F1"/>
          </w:tcPr>
          <w:p w14:paraId="2469AA49" w14:textId="77777777" w:rsidR="00C17677" w:rsidRDefault="00BE6261">
            <w:pPr>
              <w:spacing w:after="120"/>
            </w:pPr>
            <w:r>
              <w:t>Date the Statement of Strategy was approved by the Board of Management</w:t>
            </w:r>
          </w:p>
        </w:tc>
        <w:tc>
          <w:tcPr>
            <w:tcW w:w="5444" w:type="dxa"/>
          </w:tcPr>
          <w:p w14:paraId="04B684B8" w14:textId="77777777" w:rsidR="00C17677" w:rsidRDefault="00C17677"/>
          <w:p w14:paraId="690E4448" w14:textId="77777777" w:rsidR="00C17677" w:rsidRDefault="00BE6261">
            <w:r>
              <w:t>Tuesday 4</w:t>
            </w:r>
            <w:r>
              <w:rPr>
                <w:vertAlign w:val="superscript"/>
              </w:rPr>
              <w:t>th</w:t>
            </w:r>
            <w:r>
              <w:t xml:space="preserve"> April 2017</w:t>
            </w:r>
          </w:p>
        </w:tc>
      </w:tr>
      <w:tr w:rsidR="00C17677" w14:paraId="2538ED7A" w14:textId="77777777">
        <w:tc>
          <w:tcPr>
            <w:tcW w:w="3690" w:type="dxa"/>
            <w:shd w:val="clear" w:color="auto" w:fill="DBE5F1"/>
          </w:tcPr>
          <w:p w14:paraId="3AD1E4B7" w14:textId="77777777" w:rsidR="00C17677" w:rsidRDefault="00BE6261">
            <w:pPr>
              <w:spacing w:after="120"/>
            </w:pPr>
            <w:r>
              <w:t>Date the Statement of Strategy submitted to Tusla</w:t>
            </w:r>
          </w:p>
        </w:tc>
        <w:tc>
          <w:tcPr>
            <w:tcW w:w="5444" w:type="dxa"/>
          </w:tcPr>
          <w:p w14:paraId="21401A2C" w14:textId="77777777" w:rsidR="00C17677" w:rsidRDefault="00C17677"/>
          <w:p w14:paraId="3338CDB8" w14:textId="77777777" w:rsidR="00C17677" w:rsidRDefault="00BE6261">
            <w:r>
              <w:t>June 19</w:t>
            </w:r>
            <w:r>
              <w:rPr>
                <w:vertAlign w:val="superscript"/>
              </w:rPr>
              <w:t>th</w:t>
            </w:r>
            <w:r>
              <w:t xml:space="preserve"> 2017</w:t>
            </w:r>
          </w:p>
        </w:tc>
      </w:tr>
      <w:tr w:rsidR="00C17677" w14:paraId="535A45C3" w14:textId="77777777">
        <w:tc>
          <w:tcPr>
            <w:tcW w:w="3690" w:type="dxa"/>
            <w:shd w:val="clear" w:color="auto" w:fill="DBE5F1"/>
          </w:tcPr>
          <w:p w14:paraId="13FB2ECD" w14:textId="77777777" w:rsidR="00C17677" w:rsidRDefault="00BE6261">
            <w:pPr>
              <w:spacing w:after="120"/>
            </w:pPr>
            <w:r>
              <w:t>Date the Statement of Strategy was reviewed by the Board of Management</w:t>
            </w:r>
          </w:p>
        </w:tc>
        <w:tc>
          <w:tcPr>
            <w:tcW w:w="5444" w:type="dxa"/>
          </w:tcPr>
          <w:p w14:paraId="263F1AE8" w14:textId="77777777" w:rsidR="00C17677" w:rsidRDefault="00BE6261">
            <w:r>
              <w:t>Wednesday, 25</w:t>
            </w:r>
            <w:r>
              <w:rPr>
                <w:vertAlign w:val="superscript"/>
              </w:rPr>
              <w:t>th</w:t>
            </w:r>
            <w:r>
              <w:t xml:space="preserve"> October, 2017</w:t>
            </w:r>
          </w:p>
          <w:p w14:paraId="5DF8051B" w14:textId="77777777" w:rsidR="00C17677" w:rsidRDefault="00BE6261">
            <w:bookmarkStart w:id="0" w:name="_gjdgxs" w:colFirst="0" w:colLast="0"/>
            <w:bookmarkEnd w:id="0"/>
            <w:r>
              <w:t>Thursday, 17</w:t>
            </w:r>
            <w:r>
              <w:rPr>
                <w:vertAlign w:val="superscript"/>
              </w:rPr>
              <w:t>th</w:t>
            </w:r>
            <w:r>
              <w:t xml:space="preserve"> October 2019</w:t>
            </w:r>
          </w:p>
          <w:p w14:paraId="0EE8B9F3" w14:textId="77777777" w:rsidR="00C17677" w:rsidRDefault="00BE6261">
            <w:bookmarkStart w:id="1" w:name="_cf3ooq1r71x" w:colFirst="0" w:colLast="0"/>
            <w:bookmarkEnd w:id="1"/>
            <w:r>
              <w:t>Friday, 8th October 2021</w:t>
            </w:r>
          </w:p>
          <w:p w14:paraId="11324A4A" w14:textId="77777777" w:rsidR="00C17677" w:rsidRDefault="00BE6261">
            <w:bookmarkStart w:id="2" w:name="_ultfibuplmd6" w:colFirst="0" w:colLast="0"/>
            <w:bookmarkEnd w:id="2"/>
            <w:r>
              <w:t>Wednesday, 19th October 2022</w:t>
            </w:r>
          </w:p>
          <w:p w14:paraId="5158B666" w14:textId="77777777" w:rsidR="00C17677" w:rsidRDefault="00BE6261">
            <w:bookmarkStart w:id="3" w:name="_tgeau5wy5stm" w:colFirst="0" w:colLast="0"/>
            <w:bookmarkEnd w:id="3"/>
            <w:r>
              <w:t>Thursday, 12th October, 2023</w:t>
            </w:r>
          </w:p>
        </w:tc>
      </w:tr>
    </w:tbl>
    <w:p w14:paraId="49333A75" w14:textId="77777777" w:rsidR="00C17677" w:rsidRDefault="00C17677"/>
    <w:p w14:paraId="4D567491" w14:textId="77777777" w:rsidR="00C17677" w:rsidRDefault="00C17677">
      <w:pPr>
        <w:tabs>
          <w:tab w:val="left" w:pos="6179"/>
        </w:tabs>
      </w:pPr>
    </w:p>
    <w:p w14:paraId="08C2C542" w14:textId="77777777" w:rsidR="00C17677" w:rsidRDefault="00C17677">
      <w:pPr>
        <w:tabs>
          <w:tab w:val="left" w:pos="6179"/>
        </w:tabs>
      </w:pPr>
    </w:p>
    <w:p w14:paraId="33161BA4" w14:textId="77777777" w:rsidR="00C17677" w:rsidRDefault="00BE6261">
      <w:pPr>
        <w:tabs>
          <w:tab w:val="left" w:pos="6179"/>
        </w:tabs>
        <w:rPr>
          <w:b/>
        </w:rPr>
      </w:pPr>
      <w:r>
        <w:rPr>
          <w:b/>
        </w:rPr>
        <w:t>Signed ________________________________               Date: ________________________</w:t>
      </w:r>
    </w:p>
    <w:p w14:paraId="722F31ED" w14:textId="77777777" w:rsidR="00C17677" w:rsidRDefault="00BE6261">
      <w:pPr>
        <w:tabs>
          <w:tab w:val="left" w:pos="6179"/>
        </w:tabs>
        <w:rPr>
          <w:b/>
        </w:rPr>
      </w:pPr>
      <w:r>
        <w:rPr>
          <w:b/>
        </w:rPr>
        <w:t xml:space="preserve">              Chairperson of Board of Management</w:t>
      </w:r>
    </w:p>
    <w:p w14:paraId="179B38A7" w14:textId="77777777" w:rsidR="00C17677" w:rsidRDefault="00C17677">
      <w:pPr>
        <w:tabs>
          <w:tab w:val="left" w:pos="6179"/>
        </w:tabs>
        <w:rPr>
          <w:b/>
        </w:rPr>
      </w:pPr>
    </w:p>
    <w:p w14:paraId="38D91358" w14:textId="77777777" w:rsidR="00C17677" w:rsidRDefault="00BE6261">
      <w:pPr>
        <w:tabs>
          <w:tab w:val="left" w:pos="6179"/>
        </w:tabs>
        <w:rPr>
          <w:b/>
        </w:rPr>
      </w:pPr>
      <w:r>
        <w:rPr>
          <w:b/>
        </w:rPr>
        <w:t>Signed ___________                                                            Date: _________________________</w:t>
      </w:r>
    </w:p>
    <w:p w14:paraId="7AC7E50A" w14:textId="77777777" w:rsidR="00C17677" w:rsidRDefault="00BE6261">
      <w:pPr>
        <w:tabs>
          <w:tab w:val="left" w:pos="6179"/>
        </w:tabs>
      </w:pPr>
      <w:r>
        <w:rPr>
          <w:b/>
        </w:rPr>
        <w:t xml:space="preserve">                 Principal</w:t>
      </w:r>
      <w:r>
        <w:tab/>
      </w:r>
    </w:p>
    <w:sectPr w:rsidR="00C1767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E3E"/>
    <w:multiLevelType w:val="multilevel"/>
    <w:tmpl w:val="CA84A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80E9C"/>
    <w:multiLevelType w:val="multilevel"/>
    <w:tmpl w:val="78281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7D74"/>
    <w:multiLevelType w:val="multilevel"/>
    <w:tmpl w:val="63AAF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AD15BF"/>
    <w:multiLevelType w:val="multilevel"/>
    <w:tmpl w:val="DABAD0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F30EFF"/>
    <w:multiLevelType w:val="multilevel"/>
    <w:tmpl w:val="157EE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07D"/>
    <w:multiLevelType w:val="multilevel"/>
    <w:tmpl w:val="1B866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77"/>
    <w:rsid w:val="00BE6261"/>
    <w:rsid w:val="00C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81A4"/>
  <w15:docId w15:val="{CA2C7136-A530-4C27-94A2-60EFBC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endancestrategies@tusl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Johns</dc:creator>
  <cp:lastModifiedBy>Office</cp:lastModifiedBy>
  <cp:revision>2</cp:revision>
  <dcterms:created xsi:type="dcterms:W3CDTF">2023-10-19T14:08:00Z</dcterms:created>
  <dcterms:modified xsi:type="dcterms:W3CDTF">2023-10-19T14:08:00Z</dcterms:modified>
</cp:coreProperties>
</file>